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5BCA" w14:textId="313BEA2C" w:rsidR="004617AF" w:rsidRDefault="004617AF" w:rsidP="004617AF">
      <w:pPr>
        <w:pStyle w:val="NormalWeb"/>
        <w:tabs>
          <w:tab w:val="left" w:pos="6237"/>
        </w:tabs>
        <w:jc w:val="both"/>
        <w:rPr>
          <w:rFonts w:asciiTheme="majorHAnsi" w:hAnsiTheme="majorHAnsi" w:cstheme="majorHAnsi"/>
          <w:b/>
          <w:bCs/>
          <w:color w:val="000000"/>
          <w:sz w:val="28"/>
          <w:szCs w:val="28"/>
        </w:rPr>
      </w:pPr>
      <w:bookmarkStart w:id="0" w:name="_GoBack"/>
      <w:bookmarkEnd w:id="0"/>
      <w:r>
        <w:rPr>
          <w:rFonts w:asciiTheme="majorHAnsi" w:hAnsiTheme="majorHAnsi" w:cstheme="majorHAnsi"/>
          <w:b/>
          <w:bCs/>
          <w:color w:val="000000"/>
          <w:sz w:val="28"/>
          <w:szCs w:val="28"/>
        </w:rPr>
        <w:t>Communiqué de presse</w:t>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r>
      <w:r>
        <w:rPr>
          <w:rFonts w:asciiTheme="majorHAnsi" w:hAnsiTheme="majorHAnsi" w:cstheme="majorHAnsi"/>
          <w:b/>
          <w:bCs/>
          <w:color w:val="000000"/>
          <w:sz w:val="28"/>
          <w:szCs w:val="28"/>
        </w:rPr>
        <w:tab/>
        <w:t>Pour diffusion immédiate</w:t>
      </w:r>
    </w:p>
    <w:p w14:paraId="2364351E" w14:textId="55708D85" w:rsidR="004617AF" w:rsidRDefault="003C08BD" w:rsidP="004617AF">
      <w:pPr>
        <w:pStyle w:val="NormalWeb"/>
        <w:tabs>
          <w:tab w:val="left" w:pos="6237"/>
        </w:tabs>
        <w:jc w:val="both"/>
        <w:rPr>
          <w:rFonts w:asciiTheme="majorHAnsi" w:hAnsiTheme="majorHAnsi" w:cstheme="majorHAnsi"/>
          <w:b/>
          <w:bCs/>
          <w:color w:val="000000"/>
          <w:sz w:val="28"/>
          <w:szCs w:val="28"/>
        </w:rPr>
      </w:pPr>
      <w:r>
        <w:rPr>
          <w:rFonts w:asciiTheme="majorHAnsi" w:hAnsiTheme="majorHAnsi" w:cstheme="majorHAnsi"/>
          <w:b/>
          <w:bCs/>
          <w:color w:val="000000"/>
          <w:sz w:val="28"/>
          <w:szCs w:val="28"/>
        </w:rPr>
        <w:t>Saint-Georges</w:t>
      </w:r>
      <w:r w:rsidR="004617AF">
        <w:rPr>
          <w:rFonts w:asciiTheme="majorHAnsi" w:hAnsiTheme="majorHAnsi" w:cstheme="majorHAnsi"/>
          <w:b/>
          <w:bCs/>
          <w:color w:val="000000"/>
          <w:sz w:val="28"/>
          <w:szCs w:val="28"/>
        </w:rPr>
        <w:t xml:space="preserve">, le 12 avril </w:t>
      </w:r>
      <w:r w:rsidR="002071EE">
        <w:rPr>
          <w:rFonts w:asciiTheme="majorHAnsi" w:hAnsiTheme="majorHAnsi" w:cstheme="majorHAnsi"/>
          <w:b/>
          <w:bCs/>
          <w:color w:val="000000"/>
          <w:sz w:val="28"/>
          <w:szCs w:val="28"/>
        </w:rPr>
        <w:t>2017</w:t>
      </w:r>
    </w:p>
    <w:p w14:paraId="236A2644" w14:textId="77777777" w:rsidR="004617AF" w:rsidRDefault="004617AF" w:rsidP="004617AF">
      <w:pPr>
        <w:pStyle w:val="NormalWeb"/>
        <w:tabs>
          <w:tab w:val="left" w:pos="6237"/>
        </w:tabs>
        <w:jc w:val="both"/>
        <w:rPr>
          <w:rFonts w:asciiTheme="majorHAnsi" w:hAnsiTheme="majorHAnsi" w:cstheme="majorHAnsi"/>
          <w:b/>
          <w:bCs/>
          <w:color w:val="000000"/>
          <w:sz w:val="28"/>
          <w:szCs w:val="28"/>
        </w:rPr>
      </w:pPr>
    </w:p>
    <w:p w14:paraId="7BF8E284" w14:textId="77777777" w:rsidR="00C6331C" w:rsidRPr="004617AF" w:rsidRDefault="00C6331C" w:rsidP="00C6331C">
      <w:pPr>
        <w:pStyle w:val="NormalWeb"/>
        <w:jc w:val="center"/>
        <w:rPr>
          <w:rFonts w:asciiTheme="majorHAnsi" w:hAnsiTheme="majorHAnsi" w:cstheme="majorHAnsi"/>
          <w:color w:val="000000"/>
          <w:sz w:val="28"/>
          <w:szCs w:val="28"/>
        </w:rPr>
      </w:pPr>
      <w:r w:rsidRPr="004617AF">
        <w:rPr>
          <w:rFonts w:asciiTheme="majorHAnsi" w:hAnsiTheme="majorHAnsi" w:cstheme="majorHAnsi"/>
          <w:b/>
          <w:bCs/>
          <w:color w:val="000000"/>
          <w:sz w:val="28"/>
          <w:szCs w:val="28"/>
        </w:rPr>
        <w:t>La demande d’aide augmente de 34 % à Partage au masculin</w:t>
      </w:r>
    </w:p>
    <w:p w14:paraId="1616E169" w14:textId="77777777" w:rsidR="00C6331C" w:rsidRPr="00C6331C" w:rsidRDefault="00C6331C" w:rsidP="00C6331C">
      <w:pPr>
        <w:rPr>
          <w:rFonts w:asciiTheme="majorHAnsi" w:hAnsiTheme="majorHAnsi" w:cstheme="majorHAnsi"/>
          <w:sz w:val="22"/>
          <w:szCs w:val="22"/>
          <w:lang w:val="fr-CA"/>
        </w:rPr>
      </w:pPr>
    </w:p>
    <w:p w14:paraId="06D22B93" w14:textId="6F948ABD" w:rsidR="00C6331C" w:rsidRDefault="00C6331C" w:rsidP="00C6331C">
      <w:pPr>
        <w:ind w:firstLine="284"/>
        <w:rPr>
          <w:rFonts w:asciiTheme="majorHAnsi" w:hAnsiTheme="majorHAnsi" w:cstheme="majorHAnsi"/>
          <w:sz w:val="22"/>
          <w:szCs w:val="22"/>
          <w:lang w:val="fr-CA"/>
        </w:rPr>
      </w:pPr>
      <w:r w:rsidRPr="004617AF">
        <w:rPr>
          <w:rFonts w:asciiTheme="majorHAnsi" w:hAnsiTheme="majorHAnsi" w:cstheme="majorHAnsi"/>
          <w:b/>
          <w:sz w:val="22"/>
          <w:szCs w:val="22"/>
          <w:lang w:val="fr-CA"/>
        </w:rPr>
        <w:t>Partage au masculin, organisme communautaire régional qui offre 9 points d’accès à ses services aux hommes en diff</w:t>
      </w:r>
      <w:r w:rsidR="007B3FE2">
        <w:rPr>
          <w:rFonts w:asciiTheme="majorHAnsi" w:hAnsiTheme="majorHAnsi" w:cstheme="majorHAnsi"/>
          <w:b/>
          <w:sz w:val="22"/>
          <w:szCs w:val="22"/>
          <w:lang w:val="fr-CA"/>
        </w:rPr>
        <w:t xml:space="preserve">iculté de Chaudière-Appalaches </w:t>
      </w:r>
      <w:r w:rsidRPr="00C6331C">
        <w:rPr>
          <w:rFonts w:asciiTheme="majorHAnsi" w:hAnsiTheme="majorHAnsi" w:cstheme="majorHAnsi"/>
          <w:sz w:val="22"/>
          <w:szCs w:val="22"/>
          <w:lang w:val="fr-CA"/>
        </w:rPr>
        <w:t>vient de connaître une année exceptionnelle. Les nouvelles demandes d’aide ont connu une augmentation de 34%, passant de 523 hommes l’année précédente à 731  en 2016-2017. L’organisme a défrayé les coûts de 4 224 rencontres de suivis individuels en relation d’aide, alors que le total avait été de 3 391 en 2015, une augmentation de 25%.</w:t>
      </w:r>
    </w:p>
    <w:p w14:paraId="37C12254" w14:textId="77777777" w:rsidR="00C6331C" w:rsidRPr="00C6331C" w:rsidRDefault="00C6331C" w:rsidP="00C6331C">
      <w:pPr>
        <w:ind w:firstLine="284"/>
        <w:rPr>
          <w:rFonts w:asciiTheme="majorHAnsi" w:hAnsiTheme="majorHAnsi" w:cstheme="majorHAnsi"/>
          <w:sz w:val="22"/>
          <w:szCs w:val="22"/>
          <w:lang w:val="fr-CA"/>
        </w:rPr>
      </w:pPr>
    </w:p>
    <w:p w14:paraId="47DE633E" w14:textId="16CF9CD7" w:rsidR="00C6331C" w:rsidRDefault="00C6331C" w:rsidP="00C6331C">
      <w:pPr>
        <w:ind w:firstLine="284"/>
        <w:rPr>
          <w:rFonts w:asciiTheme="majorHAnsi" w:hAnsiTheme="majorHAnsi" w:cstheme="majorHAnsi"/>
          <w:sz w:val="22"/>
          <w:szCs w:val="22"/>
          <w:lang w:val="fr-CA"/>
        </w:rPr>
      </w:pPr>
      <w:r w:rsidRPr="00C6331C">
        <w:rPr>
          <w:rFonts w:asciiTheme="majorHAnsi" w:hAnsiTheme="majorHAnsi" w:cstheme="majorHAnsi"/>
          <w:sz w:val="22"/>
          <w:szCs w:val="22"/>
          <w:lang w:val="fr-CA"/>
        </w:rPr>
        <w:t>Monsieur Pierre Pépin, président de l’organisme depuis 13 ans, se réjouit du fait qu’une telle affluence manifeste un changement remarquable des hommes devant la demande d’aide</w:t>
      </w:r>
      <w:r w:rsidR="004617AF">
        <w:rPr>
          <w:rFonts w:asciiTheme="majorHAnsi" w:hAnsiTheme="majorHAnsi" w:cstheme="majorHAnsi"/>
          <w:sz w:val="22"/>
          <w:szCs w:val="22"/>
          <w:lang w:val="fr-CA"/>
        </w:rPr>
        <w:t> :</w:t>
      </w:r>
      <w:r w:rsidRPr="00C6331C">
        <w:rPr>
          <w:rFonts w:asciiTheme="majorHAnsi" w:hAnsiTheme="majorHAnsi" w:cstheme="majorHAnsi"/>
          <w:sz w:val="22"/>
          <w:szCs w:val="22"/>
          <w:lang w:val="fr-CA"/>
        </w:rPr>
        <w:t xml:space="preserve"> «Cette année, les demandes ont explosé. Que les hommes consultent davantage, et plus tôt quand surviennent des difficultés, a un effet certain en prévention du suicide, ce qui était l’objectif principal mis de l’avant lors de la fondation de Partage au masculin». </w:t>
      </w:r>
    </w:p>
    <w:p w14:paraId="56880CE5" w14:textId="77777777" w:rsidR="00C6331C" w:rsidRPr="00C6331C" w:rsidRDefault="00C6331C" w:rsidP="00C6331C">
      <w:pPr>
        <w:ind w:firstLine="284"/>
        <w:rPr>
          <w:rFonts w:asciiTheme="majorHAnsi" w:hAnsiTheme="majorHAnsi" w:cstheme="majorHAnsi"/>
          <w:sz w:val="22"/>
          <w:szCs w:val="22"/>
          <w:lang w:val="fr-CA"/>
        </w:rPr>
      </w:pPr>
    </w:p>
    <w:p w14:paraId="39922E3F" w14:textId="77777777" w:rsidR="00C6331C" w:rsidRDefault="00C6331C" w:rsidP="00C6331C">
      <w:pPr>
        <w:ind w:firstLine="284"/>
        <w:rPr>
          <w:rFonts w:asciiTheme="majorHAnsi" w:hAnsiTheme="majorHAnsi" w:cstheme="majorHAnsi"/>
          <w:sz w:val="22"/>
          <w:szCs w:val="22"/>
          <w:lang w:val="fr-CA"/>
        </w:rPr>
      </w:pPr>
      <w:r w:rsidRPr="00C6331C">
        <w:rPr>
          <w:rFonts w:asciiTheme="majorHAnsi" w:hAnsiTheme="majorHAnsi" w:cstheme="majorHAnsi"/>
          <w:sz w:val="22"/>
          <w:szCs w:val="22"/>
          <w:lang w:val="fr-CA"/>
        </w:rPr>
        <w:t xml:space="preserve">Financé par le Programme de Soutien aux organismes communautaires et par Centraide, Partage au masculin offre aussi des rencontres de groupes pour les hommes vivant la fin de leur couple, un Café-discussion mensuel et des ateliers en lien avec la retraite. </w:t>
      </w:r>
    </w:p>
    <w:p w14:paraId="31AA9E14" w14:textId="77777777" w:rsidR="00C6331C" w:rsidRPr="00C6331C" w:rsidRDefault="00C6331C" w:rsidP="00C6331C">
      <w:pPr>
        <w:ind w:firstLine="284"/>
        <w:rPr>
          <w:rFonts w:asciiTheme="majorHAnsi" w:hAnsiTheme="majorHAnsi" w:cstheme="majorHAnsi"/>
          <w:sz w:val="22"/>
          <w:szCs w:val="22"/>
          <w:lang w:val="fr-CA"/>
        </w:rPr>
      </w:pPr>
    </w:p>
    <w:p w14:paraId="3804EFDE" w14:textId="3A4AC8BC" w:rsidR="00C6331C" w:rsidRDefault="00C6331C" w:rsidP="00C6331C">
      <w:pPr>
        <w:ind w:firstLine="284"/>
        <w:rPr>
          <w:rFonts w:asciiTheme="majorHAnsi" w:hAnsiTheme="majorHAnsi" w:cstheme="majorHAnsi"/>
          <w:sz w:val="22"/>
          <w:szCs w:val="22"/>
          <w:lang w:val="fr-CA"/>
        </w:rPr>
      </w:pPr>
      <w:r w:rsidRPr="00C6331C">
        <w:rPr>
          <w:rFonts w:asciiTheme="majorHAnsi" w:hAnsiTheme="majorHAnsi" w:cstheme="majorHAnsi"/>
          <w:sz w:val="22"/>
          <w:szCs w:val="22"/>
          <w:lang w:val="fr-CA"/>
        </w:rPr>
        <w:t>Les motifs d</w:t>
      </w:r>
      <w:r>
        <w:rPr>
          <w:rFonts w:asciiTheme="majorHAnsi" w:hAnsiTheme="majorHAnsi" w:cstheme="majorHAnsi"/>
          <w:sz w:val="22"/>
          <w:szCs w:val="22"/>
          <w:lang w:val="fr-CA"/>
        </w:rPr>
        <w:t>e consultations sont très varié</w:t>
      </w:r>
      <w:r w:rsidRPr="00C6331C">
        <w:rPr>
          <w:rFonts w:asciiTheme="majorHAnsi" w:hAnsiTheme="majorHAnsi" w:cstheme="majorHAnsi"/>
          <w:sz w:val="22"/>
          <w:szCs w:val="22"/>
          <w:lang w:val="fr-CA"/>
        </w:rPr>
        <w:t xml:space="preserve">s, avec tout de même certaines difficultés qui reviennent plus souvent : problèmes de couple ou séparation, gestion des émotions, difficultés de communication, isolement, être victime de violence conjugale, avoir été agressé sexuellement dans son enfance, etc. On en trouvera une liste complète sur le site web de l’organisme.  </w:t>
      </w:r>
    </w:p>
    <w:p w14:paraId="31DA80EB" w14:textId="77777777" w:rsidR="00C6331C" w:rsidRPr="00C6331C" w:rsidRDefault="00C6331C" w:rsidP="00C6331C">
      <w:pPr>
        <w:ind w:firstLine="284"/>
        <w:rPr>
          <w:rFonts w:asciiTheme="majorHAnsi" w:hAnsiTheme="majorHAnsi" w:cstheme="majorHAnsi"/>
          <w:sz w:val="22"/>
          <w:szCs w:val="22"/>
          <w:lang w:val="fr-CA"/>
        </w:rPr>
      </w:pPr>
    </w:p>
    <w:p w14:paraId="3072EE57" w14:textId="57C229E4" w:rsidR="00C6331C" w:rsidRDefault="00C6331C" w:rsidP="00C6331C">
      <w:pPr>
        <w:ind w:firstLine="284"/>
        <w:rPr>
          <w:rFonts w:asciiTheme="majorHAnsi" w:hAnsiTheme="majorHAnsi" w:cstheme="majorHAnsi"/>
          <w:sz w:val="22"/>
          <w:szCs w:val="22"/>
          <w:lang w:val="fr-CA"/>
        </w:rPr>
      </w:pPr>
      <w:r w:rsidRPr="00C6331C">
        <w:rPr>
          <w:rFonts w:asciiTheme="majorHAnsi" w:hAnsiTheme="majorHAnsi" w:cstheme="majorHAnsi"/>
          <w:sz w:val="22"/>
          <w:szCs w:val="22"/>
          <w:lang w:val="fr-CA"/>
        </w:rPr>
        <w:t>Pour le directeur de l’organisme, Guy Dubé, ce succès repose sur les liens de collaboration tissés avec le Centre intégré de santé et des services sociaux  et les autres partenaires de la région,  sur un travail acharné de l’équipe des 12 collaborateurs</w:t>
      </w:r>
      <w:r w:rsidR="004617AF">
        <w:rPr>
          <w:rFonts w:asciiTheme="majorHAnsi" w:hAnsiTheme="majorHAnsi" w:cstheme="majorHAnsi"/>
          <w:sz w:val="22"/>
          <w:szCs w:val="22"/>
          <w:lang w:val="fr-CA"/>
        </w:rPr>
        <w:t xml:space="preserve"> et</w:t>
      </w:r>
      <w:r w:rsidRPr="00C6331C">
        <w:rPr>
          <w:rFonts w:asciiTheme="majorHAnsi" w:hAnsiTheme="majorHAnsi" w:cstheme="majorHAnsi"/>
          <w:sz w:val="22"/>
          <w:szCs w:val="22"/>
          <w:lang w:val="fr-CA"/>
        </w:rPr>
        <w:t xml:space="preserve"> sur des méthodes moder</w:t>
      </w:r>
      <w:r w:rsidR="007B3FE2">
        <w:rPr>
          <w:rFonts w:asciiTheme="majorHAnsi" w:hAnsiTheme="majorHAnsi" w:cstheme="majorHAnsi"/>
          <w:sz w:val="22"/>
          <w:szCs w:val="22"/>
          <w:lang w:val="fr-CA"/>
        </w:rPr>
        <w:t>nes de gestion. « Nous avons ada</w:t>
      </w:r>
      <w:r w:rsidRPr="00C6331C">
        <w:rPr>
          <w:rFonts w:asciiTheme="majorHAnsi" w:hAnsiTheme="majorHAnsi" w:cstheme="majorHAnsi"/>
          <w:sz w:val="22"/>
          <w:szCs w:val="22"/>
          <w:lang w:val="fr-CA"/>
        </w:rPr>
        <w:t>pté nos façons de gérer de sorte que nous avons pu jusqu’ici absorber cette augmentation sans créer de liste d’attente ni ajouter de personnel. Par ailleurs, il est certain qu’un tel taux d’augmentation était impossible à prévoir et que cela met une pression considérable sur les ressources budgétaires de l’organisme. »</w:t>
      </w:r>
    </w:p>
    <w:p w14:paraId="397AF388" w14:textId="77777777" w:rsidR="004617AF" w:rsidRPr="00C6331C" w:rsidRDefault="004617AF" w:rsidP="003C08BD">
      <w:pPr>
        <w:rPr>
          <w:rFonts w:asciiTheme="majorHAnsi" w:hAnsiTheme="majorHAnsi" w:cstheme="majorHAnsi"/>
          <w:sz w:val="22"/>
          <w:szCs w:val="22"/>
          <w:lang w:val="fr-CA"/>
        </w:rPr>
      </w:pPr>
    </w:p>
    <w:p w14:paraId="4213119C" w14:textId="50963411" w:rsidR="00C6331C" w:rsidRDefault="00C6331C" w:rsidP="003C08BD">
      <w:pPr>
        <w:ind w:firstLine="284"/>
        <w:rPr>
          <w:rFonts w:asciiTheme="majorHAnsi" w:hAnsiTheme="majorHAnsi" w:cstheme="majorHAnsi"/>
          <w:sz w:val="22"/>
          <w:szCs w:val="22"/>
          <w:lang w:val="fr-CA"/>
        </w:rPr>
      </w:pPr>
      <w:r w:rsidRPr="00C6331C">
        <w:rPr>
          <w:rFonts w:asciiTheme="majorHAnsi" w:hAnsiTheme="majorHAnsi" w:cstheme="majorHAnsi"/>
          <w:sz w:val="22"/>
          <w:szCs w:val="22"/>
          <w:lang w:val="fr-CA"/>
        </w:rPr>
        <w:t>On peut rejoindre Partage au masculin au 418</w:t>
      </w:r>
      <w:r w:rsidR="003C08BD">
        <w:rPr>
          <w:rFonts w:asciiTheme="majorHAnsi" w:hAnsiTheme="majorHAnsi" w:cstheme="majorHAnsi"/>
          <w:sz w:val="22"/>
          <w:szCs w:val="22"/>
          <w:lang w:val="fr-CA"/>
        </w:rPr>
        <w:t> 228-7682.</w:t>
      </w:r>
    </w:p>
    <w:p w14:paraId="36114BD0" w14:textId="77777777" w:rsidR="003C08BD" w:rsidRPr="00C6331C" w:rsidRDefault="003C08BD" w:rsidP="003C08BD">
      <w:pPr>
        <w:ind w:firstLine="284"/>
        <w:rPr>
          <w:rFonts w:asciiTheme="majorHAnsi" w:hAnsiTheme="majorHAnsi" w:cstheme="majorHAnsi"/>
          <w:sz w:val="22"/>
          <w:szCs w:val="22"/>
          <w:lang w:val="fr-CA"/>
        </w:rPr>
      </w:pPr>
    </w:p>
    <w:p w14:paraId="70977286" w14:textId="77777777" w:rsidR="00C6331C" w:rsidRPr="00C6331C" w:rsidRDefault="00C6331C" w:rsidP="00C6331C">
      <w:pPr>
        <w:jc w:val="center"/>
        <w:rPr>
          <w:rFonts w:asciiTheme="majorHAnsi" w:hAnsiTheme="majorHAnsi" w:cstheme="majorHAnsi"/>
          <w:sz w:val="22"/>
          <w:szCs w:val="22"/>
        </w:rPr>
      </w:pPr>
      <w:r w:rsidRPr="00C6331C">
        <w:rPr>
          <w:rFonts w:asciiTheme="majorHAnsi" w:hAnsiTheme="majorHAnsi" w:cstheme="majorHAnsi"/>
          <w:sz w:val="22"/>
          <w:szCs w:val="22"/>
        </w:rPr>
        <w:t>-30-</w:t>
      </w:r>
    </w:p>
    <w:p w14:paraId="7D116B3F" w14:textId="5F5E1A71" w:rsidR="00C6331C" w:rsidRPr="00C6331C" w:rsidRDefault="00C6331C" w:rsidP="00C6331C">
      <w:pPr>
        <w:jc w:val="center"/>
        <w:rPr>
          <w:rFonts w:asciiTheme="majorHAnsi" w:hAnsiTheme="majorHAnsi" w:cstheme="majorHAnsi"/>
          <w:sz w:val="22"/>
          <w:szCs w:val="22"/>
        </w:rPr>
      </w:pPr>
    </w:p>
    <w:p w14:paraId="1FB6B3E4" w14:textId="30332095" w:rsidR="009E292C" w:rsidRPr="00C6331C" w:rsidRDefault="003C08BD" w:rsidP="004617AF">
      <w:pPr>
        <w:jc w:val="both"/>
        <w:rPr>
          <w:rFonts w:asciiTheme="majorHAnsi" w:hAnsiTheme="majorHAnsi" w:cstheme="majorHAnsi"/>
          <w:sz w:val="22"/>
          <w:szCs w:val="22"/>
        </w:rPr>
      </w:pPr>
      <w:r>
        <w:rPr>
          <w:rFonts w:asciiTheme="majorHAnsi" w:hAnsiTheme="majorHAnsi" w:cstheme="majorHAnsi"/>
          <w:sz w:val="22"/>
          <w:szCs w:val="22"/>
        </w:rPr>
        <w:t>Source</w:t>
      </w:r>
      <w:r w:rsidR="00C6331C" w:rsidRPr="00C6331C">
        <w:rPr>
          <w:rFonts w:asciiTheme="majorHAnsi" w:hAnsiTheme="majorHAnsi" w:cstheme="majorHAnsi"/>
          <w:sz w:val="22"/>
          <w:szCs w:val="22"/>
        </w:rPr>
        <w:t xml:space="preserve">: Guy Dubé </w:t>
      </w:r>
      <w:r w:rsidR="004617AF">
        <w:rPr>
          <w:rFonts w:asciiTheme="majorHAnsi" w:hAnsiTheme="majorHAnsi" w:cstheme="majorHAnsi"/>
          <w:sz w:val="22"/>
          <w:szCs w:val="22"/>
        </w:rPr>
        <w:t>418</w:t>
      </w:r>
      <w:r w:rsidR="002071EE">
        <w:rPr>
          <w:rFonts w:asciiTheme="majorHAnsi" w:hAnsiTheme="majorHAnsi" w:cstheme="majorHAnsi"/>
          <w:sz w:val="22"/>
          <w:szCs w:val="22"/>
        </w:rPr>
        <w:t> 835-9444</w:t>
      </w:r>
      <w:r w:rsidR="00C6331C" w:rsidRPr="00C6331C">
        <w:rPr>
          <w:rFonts w:asciiTheme="majorHAnsi" w:hAnsiTheme="majorHAnsi" w:cstheme="majorHAnsi"/>
          <w:sz w:val="22"/>
          <w:szCs w:val="22"/>
        </w:rPr>
        <w:t xml:space="preserve"> </w:t>
      </w:r>
    </w:p>
    <w:sectPr w:rsidR="009E292C" w:rsidRPr="00C6331C" w:rsidSect="003A09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FF974" w14:textId="77777777" w:rsidR="008942DA" w:rsidRDefault="008942DA" w:rsidP="00D92005">
      <w:r>
        <w:separator/>
      </w:r>
    </w:p>
  </w:endnote>
  <w:endnote w:type="continuationSeparator" w:id="0">
    <w:p w14:paraId="0BDF5EDC" w14:textId="77777777" w:rsidR="008942DA" w:rsidRDefault="008942DA"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8942DA">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B5489" w14:textId="77777777" w:rsidR="008942DA" w:rsidRDefault="008942DA" w:rsidP="00D92005">
      <w:r>
        <w:separator/>
      </w:r>
    </w:p>
  </w:footnote>
  <w:footnote w:type="continuationSeparator" w:id="0">
    <w:p w14:paraId="1B464D9F" w14:textId="77777777" w:rsidR="008942DA" w:rsidRDefault="008942DA"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1264BB"/>
    <w:rsid w:val="0013300D"/>
    <w:rsid w:val="001B5F57"/>
    <w:rsid w:val="001D3925"/>
    <w:rsid w:val="001F7B28"/>
    <w:rsid w:val="002071EE"/>
    <w:rsid w:val="00213083"/>
    <w:rsid w:val="002F2523"/>
    <w:rsid w:val="00314DD2"/>
    <w:rsid w:val="00391924"/>
    <w:rsid w:val="003A0990"/>
    <w:rsid w:val="003B350E"/>
    <w:rsid w:val="003C08BD"/>
    <w:rsid w:val="00440E90"/>
    <w:rsid w:val="00445952"/>
    <w:rsid w:val="004617AF"/>
    <w:rsid w:val="00541847"/>
    <w:rsid w:val="00552458"/>
    <w:rsid w:val="005744E7"/>
    <w:rsid w:val="005B7853"/>
    <w:rsid w:val="00603A5B"/>
    <w:rsid w:val="006544B2"/>
    <w:rsid w:val="006574A2"/>
    <w:rsid w:val="0067706B"/>
    <w:rsid w:val="007112C5"/>
    <w:rsid w:val="007B3FE2"/>
    <w:rsid w:val="007E1A2C"/>
    <w:rsid w:val="008667F5"/>
    <w:rsid w:val="008942DA"/>
    <w:rsid w:val="00953636"/>
    <w:rsid w:val="009C2A62"/>
    <w:rsid w:val="009C53D1"/>
    <w:rsid w:val="009E292C"/>
    <w:rsid w:val="00A47DFD"/>
    <w:rsid w:val="00A979B4"/>
    <w:rsid w:val="00AB3FD2"/>
    <w:rsid w:val="00AB4BD4"/>
    <w:rsid w:val="00AC01DA"/>
    <w:rsid w:val="00AC61B8"/>
    <w:rsid w:val="00AF79FD"/>
    <w:rsid w:val="00B4637D"/>
    <w:rsid w:val="00B5053B"/>
    <w:rsid w:val="00C6331C"/>
    <w:rsid w:val="00CE3091"/>
    <w:rsid w:val="00D36C49"/>
    <w:rsid w:val="00D92005"/>
    <w:rsid w:val="00DB2619"/>
    <w:rsid w:val="00E35FB0"/>
    <w:rsid w:val="00F77E9A"/>
    <w:rsid w:val="00F943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NormalWeb">
    <w:name w:val="Normal (Web)"/>
    <w:basedOn w:val="Normal"/>
    <w:uiPriority w:val="99"/>
    <w:semiHidden/>
    <w:unhideWhenUsed/>
    <w:rsid w:val="00C6331C"/>
    <w:rPr>
      <w:rFonts w:ascii="Times New Roman" w:eastAsia="Calibri"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24DF1"/>
    <w:rsid w:val="00254CA0"/>
    <w:rsid w:val="002B6B7E"/>
    <w:rsid w:val="00461ECA"/>
    <w:rsid w:val="00542CD8"/>
    <w:rsid w:val="006A4DF2"/>
    <w:rsid w:val="007A60B2"/>
    <w:rsid w:val="00905DFB"/>
    <w:rsid w:val="00906985"/>
    <w:rsid w:val="00967792"/>
    <w:rsid w:val="009E2583"/>
    <w:rsid w:val="00B551DE"/>
    <w:rsid w:val="00C56D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44A4-1014-484E-A972-FD2B6CB7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2017-04-12T16:18:00Z</cp:lastPrinted>
  <dcterms:created xsi:type="dcterms:W3CDTF">2017-04-13T20:18:00Z</dcterms:created>
  <dcterms:modified xsi:type="dcterms:W3CDTF">2017-04-13T20:18:00Z</dcterms:modified>
</cp:coreProperties>
</file>